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0D67" w14:textId="1FA4BF24" w:rsidR="005E3EBE" w:rsidRPr="00114D0E" w:rsidRDefault="00413111" w:rsidP="00D365C5">
      <w:pPr>
        <w:shd w:val="clear" w:color="auto" w:fill="000000"/>
        <w:jc w:val="center"/>
        <w:rPr>
          <w:rFonts w:ascii="Times New Roman" w:hAnsi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/>
          <w:b/>
          <w:bCs/>
          <w:color w:val="FFFFFF"/>
          <w:sz w:val="28"/>
          <w:szCs w:val="28"/>
        </w:rPr>
        <w:t xml:space="preserve">Fair Compensation for Maryland </w:t>
      </w:r>
      <w:proofErr w:type="spellStart"/>
      <w:r>
        <w:rPr>
          <w:rFonts w:ascii="Times New Roman" w:hAnsi="Times New Roman"/>
          <w:b/>
          <w:bCs/>
          <w:color w:val="FFFFFF"/>
          <w:sz w:val="28"/>
          <w:szCs w:val="28"/>
        </w:rPr>
        <w:t>Exonerees</w:t>
      </w:r>
      <w:proofErr w:type="spellEnd"/>
      <w:r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</w:p>
    <w:p w14:paraId="144CBB32" w14:textId="603AB14E" w:rsidR="00210C4C" w:rsidRPr="00210C4C" w:rsidRDefault="0039110A" w:rsidP="00210C4C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8"/>
          <w:szCs w:val="28"/>
          <w:u w:val="single"/>
        </w:rPr>
      </w:pPr>
      <w:r w:rsidRPr="00010F53">
        <w:rPr>
          <w:rFonts w:ascii="Times New Roman" w:hAnsi="Times New Roman"/>
          <w:b/>
          <w:sz w:val="28"/>
          <w:szCs w:val="28"/>
          <w:u w:val="single"/>
        </w:rPr>
        <w:t>35 states + federal gov’t</w:t>
      </w:r>
      <w:r w:rsidRPr="00210C4C">
        <w:rPr>
          <w:rFonts w:ascii="Times New Roman" w:hAnsi="Times New Roman"/>
          <w:sz w:val="28"/>
          <w:szCs w:val="28"/>
        </w:rPr>
        <w:t xml:space="preserve"> have exoneree compensation law</w:t>
      </w:r>
      <w:r w:rsidR="00210C4C" w:rsidRPr="00210C4C">
        <w:rPr>
          <w:rFonts w:ascii="Times New Roman" w:hAnsi="Times New Roman"/>
          <w:sz w:val="28"/>
          <w:szCs w:val="28"/>
        </w:rPr>
        <w:t xml:space="preserve">s. </w:t>
      </w:r>
    </w:p>
    <w:p w14:paraId="0B0E367B" w14:textId="77777777" w:rsidR="00210C4C" w:rsidRPr="00210C4C" w:rsidRDefault="00210C4C" w:rsidP="00210C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14:paraId="7E8CE737" w14:textId="16617FFB" w:rsidR="00210C4C" w:rsidRPr="00210C4C" w:rsidRDefault="00210C4C" w:rsidP="00210C4C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color w:val="000000"/>
          <w:sz w:val="28"/>
          <w:szCs w:val="28"/>
        </w:rPr>
      </w:pPr>
      <w:r w:rsidRPr="00210C4C">
        <w:rPr>
          <w:rFonts w:ascii="Times New Roman" w:hAnsi="Times New Roman"/>
          <w:sz w:val="28"/>
          <w:szCs w:val="28"/>
        </w:rPr>
        <w:t xml:space="preserve">Only </w:t>
      </w:r>
      <w:r w:rsidRPr="00210C4C">
        <w:rPr>
          <w:rFonts w:ascii="Times New Roman" w:hAnsi="Times New Roman"/>
          <w:b/>
          <w:sz w:val="28"/>
          <w:szCs w:val="28"/>
          <w:u w:val="single"/>
        </w:rPr>
        <w:t>11 of over 30</w:t>
      </w:r>
      <w:r w:rsidRPr="00210C4C">
        <w:rPr>
          <w:rFonts w:ascii="Times New Roman" w:hAnsi="Times New Roman"/>
          <w:sz w:val="28"/>
          <w:szCs w:val="28"/>
        </w:rPr>
        <w:t xml:space="preserve"> Maryland exonerees have been compensated.</w:t>
      </w:r>
    </w:p>
    <w:p w14:paraId="35777E00" w14:textId="77777777" w:rsidR="00210C4C" w:rsidRPr="00210C4C" w:rsidRDefault="00210C4C" w:rsidP="00210C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6D98E344" w14:textId="15F03042" w:rsidR="00210C4C" w:rsidRPr="00210C4C" w:rsidRDefault="00210C4C" w:rsidP="00210C4C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color w:val="000000"/>
          <w:sz w:val="28"/>
          <w:szCs w:val="28"/>
        </w:rPr>
      </w:pPr>
      <w:r w:rsidRPr="00210C4C">
        <w:rPr>
          <w:rFonts w:ascii="Times New Roman" w:hAnsi="Times New Roman"/>
          <w:color w:val="000000"/>
          <w:sz w:val="28"/>
          <w:szCs w:val="28"/>
        </w:rPr>
        <w:t>Without state compensation, ex</w:t>
      </w:r>
      <w:bookmarkStart w:id="0" w:name="_GoBack"/>
      <w:bookmarkEnd w:id="0"/>
      <w:r w:rsidRPr="00210C4C">
        <w:rPr>
          <w:rFonts w:ascii="Times New Roman" w:hAnsi="Times New Roman"/>
          <w:color w:val="000000"/>
          <w:sz w:val="28"/>
          <w:szCs w:val="28"/>
        </w:rPr>
        <w:t xml:space="preserve">onerees file federal civil rights lawsuits, which have </w:t>
      </w:r>
      <w:r w:rsidRPr="00210C4C">
        <w:rPr>
          <w:rFonts w:ascii="Times New Roman" w:hAnsi="Times New Roman"/>
          <w:b/>
          <w:color w:val="000000"/>
          <w:sz w:val="28"/>
          <w:szCs w:val="28"/>
          <w:u w:val="single"/>
        </w:rPr>
        <w:t>cost Maryland taxpayers over $24 million</w:t>
      </w:r>
      <w:r w:rsidRPr="00210C4C">
        <w:rPr>
          <w:rFonts w:ascii="Times New Roman" w:hAnsi="Times New Roman"/>
          <w:color w:val="000000"/>
          <w:sz w:val="28"/>
          <w:szCs w:val="28"/>
        </w:rPr>
        <w:t>. Taxpayers cover years of litigation costs &amp; there is no limit on the amount that can be awarded.</w:t>
      </w:r>
    </w:p>
    <w:p w14:paraId="634ECC2F" w14:textId="60FC0110" w:rsidR="00F42D11" w:rsidRPr="00210C4C" w:rsidRDefault="00F42D11" w:rsidP="00F42D11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14:paraId="3EC1A26C" w14:textId="6494E452" w:rsidR="00F42D11" w:rsidRPr="00010F53" w:rsidRDefault="00F42D11" w:rsidP="00010F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>Problems</w:t>
      </w:r>
      <w:r w:rsidR="00210C4C" w:rsidRPr="00010F53">
        <w:rPr>
          <w:rFonts w:ascii="Times New Roman" w:hAnsi="Times New Roman"/>
          <w:b/>
          <w:sz w:val="28"/>
          <w:szCs w:val="28"/>
        </w:rPr>
        <w:t xml:space="preserve"> with </w:t>
      </w:r>
      <w:r w:rsidR="00010F53" w:rsidRPr="00010F53">
        <w:rPr>
          <w:rFonts w:ascii="Times New Roman" w:hAnsi="Times New Roman"/>
          <w:b/>
          <w:sz w:val="28"/>
          <w:szCs w:val="28"/>
        </w:rPr>
        <w:t xml:space="preserve">Exoneree </w:t>
      </w:r>
      <w:r w:rsidR="00210C4C" w:rsidRPr="00010F53">
        <w:rPr>
          <w:rFonts w:ascii="Times New Roman" w:hAnsi="Times New Roman"/>
          <w:b/>
          <w:sz w:val="28"/>
          <w:szCs w:val="28"/>
        </w:rPr>
        <w:t>Compensation Law</w:t>
      </w:r>
      <w:r w:rsidRPr="00010F53">
        <w:rPr>
          <w:rFonts w:ascii="Times New Roman" w:hAnsi="Times New Roman"/>
          <w:b/>
          <w:sz w:val="28"/>
          <w:szCs w:val="28"/>
        </w:rPr>
        <w:t>:</w:t>
      </w:r>
    </w:p>
    <w:p w14:paraId="46A00F47" w14:textId="77777777" w:rsidR="00210C4C" w:rsidRPr="00210C4C" w:rsidRDefault="00210C4C" w:rsidP="00210C4C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7FFB594" w14:textId="07D15C92" w:rsidR="00413111" w:rsidRPr="00010F53" w:rsidRDefault="00413111" w:rsidP="00413111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>No set amount</w:t>
      </w:r>
      <w:r w:rsidRPr="00010F53">
        <w:rPr>
          <w:rFonts w:ascii="Times New Roman" w:hAnsi="Times New Roman"/>
          <w:sz w:val="28"/>
          <w:szCs w:val="28"/>
        </w:rPr>
        <w:t xml:space="preserve">: </w:t>
      </w:r>
      <w:r w:rsidR="00210C4C" w:rsidRPr="00010F53">
        <w:rPr>
          <w:rFonts w:ascii="Times New Roman" w:hAnsi="Times New Roman"/>
          <w:sz w:val="28"/>
          <w:szCs w:val="28"/>
        </w:rPr>
        <w:t>Most</w:t>
      </w:r>
      <w:r w:rsidRPr="00010F53">
        <w:rPr>
          <w:rFonts w:ascii="Times New Roman" w:hAnsi="Times New Roman"/>
          <w:sz w:val="28"/>
          <w:szCs w:val="28"/>
        </w:rPr>
        <w:t xml:space="preserve"> states have a fixed dollar amount for each year of wrongful incarceration. </w:t>
      </w:r>
    </w:p>
    <w:p w14:paraId="49F677C5" w14:textId="77777777" w:rsidR="00413111" w:rsidRPr="00010F53" w:rsidRDefault="00413111" w:rsidP="00413111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14:paraId="010D12F2" w14:textId="7DD0333B" w:rsidR="00413111" w:rsidRPr="00010F53" w:rsidRDefault="00413111" w:rsidP="00413111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 xml:space="preserve">Board of Public Works </w:t>
      </w:r>
      <w:r w:rsidR="0039110A" w:rsidRPr="00010F53">
        <w:rPr>
          <w:rFonts w:ascii="Times New Roman" w:hAnsi="Times New Roman"/>
          <w:b/>
          <w:sz w:val="28"/>
          <w:szCs w:val="28"/>
        </w:rPr>
        <w:t>should not be in charge</w:t>
      </w:r>
      <w:r w:rsidR="0039110A" w:rsidRPr="00010F53">
        <w:rPr>
          <w:rFonts w:ascii="Times New Roman" w:hAnsi="Times New Roman"/>
          <w:sz w:val="28"/>
          <w:szCs w:val="28"/>
        </w:rPr>
        <w:t xml:space="preserve">. The Board of Public Works’ main role is funding capital projects. It doesn’t have the expertise to determine who should be compensated, when and how much, but </w:t>
      </w:r>
      <w:r w:rsidR="00210C4C" w:rsidRPr="00010F53">
        <w:rPr>
          <w:rFonts w:ascii="Times New Roman" w:hAnsi="Times New Roman"/>
          <w:sz w:val="28"/>
          <w:szCs w:val="28"/>
        </w:rPr>
        <w:t>under current law it has complete discretion on those decisions</w:t>
      </w:r>
      <w:r w:rsidR="0039110A" w:rsidRPr="00010F53">
        <w:rPr>
          <w:rFonts w:ascii="Times New Roman" w:hAnsi="Times New Roman"/>
          <w:sz w:val="28"/>
          <w:szCs w:val="28"/>
        </w:rPr>
        <w:t xml:space="preserve">. </w:t>
      </w:r>
      <w:r w:rsidRPr="00010F53">
        <w:rPr>
          <w:rFonts w:ascii="Times New Roman" w:hAnsi="Times New Roman"/>
          <w:sz w:val="28"/>
          <w:szCs w:val="28"/>
        </w:rPr>
        <w:t xml:space="preserve"> </w:t>
      </w:r>
    </w:p>
    <w:p w14:paraId="3AAB04B7" w14:textId="77777777" w:rsidR="009E4AFB" w:rsidRPr="00010F53" w:rsidRDefault="009E4AFB" w:rsidP="009E4AFB">
      <w:pPr>
        <w:rPr>
          <w:rFonts w:ascii="Times New Roman" w:hAnsi="Times New Roman"/>
          <w:sz w:val="28"/>
          <w:szCs w:val="28"/>
        </w:rPr>
      </w:pPr>
    </w:p>
    <w:p w14:paraId="6B6C453A" w14:textId="3C9067A0" w:rsidR="00010F53" w:rsidRPr="00010F53" w:rsidRDefault="00413111" w:rsidP="00010F53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>Unfair eligibility requirements</w:t>
      </w:r>
      <w:r w:rsidRPr="00010F53">
        <w:rPr>
          <w:rFonts w:ascii="Times New Roman" w:hAnsi="Times New Roman"/>
          <w:sz w:val="28"/>
          <w:szCs w:val="28"/>
        </w:rPr>
        <w:t xml:space="preserve">: There are several different ways that an innocent Marylander can be exonerated. </w:t>
      </w:r>
      <w:r w:rsidR="00210C4C" w:rsidRPr="00010F53">
        <w:rPr>
          <w:rFonts w:ascii="Times New Roman" w:hAnsi="Times New Roman"/>
          <w:sz w:val="28"/>
          <w:szCs w:val="28"/>
        </w:rPr>
        <w:t xml:space="preserve">Currently </w:t>
      </w:r>
      <w:r w:rsidR="00010F53" w:rsidRPr="00010F53">
        <w:rPr>
          <w:rFonts w:ascii="Times New Roman" w:hAnsi="Times New Roman"/>
          <w:sz w:val="28"/>
          <w:szCs w:val="28"/>
        </w:rPr>
        <w:t xml:space="preserve">eligibility is </w:t>
      </w:r>
      <w:r w:rsidR="00210C4C" w:rsidRPr="00010F53">
        <w:rPr>
          <w:rFonts w:ascii="Times New Roman" w:hAnsi="Times New Roman"/>
          <w:sz w:val="28"/>
          <w:szCs w:val="28"/>
        </w:rPr>
        <w:t>limited to</w:t>
      </w:r>
      <w:r w:rsidRPr="00010F53">
        <w:rPr>
          <w:rFonts w:ascii="Times New Roman" w:hAnsi="Times New Roman"/>
          <w:sz w:val="28"/>
          <w:szCs w:val="28"/>
        </w:rPr>
        <w:t xml:space="preserve"> </w:t>
      </w:r>
      <w:r w:rsidR="00210C4C" w:rsidRPr="00010F53">
        <w:rPr>
          <w:rFonts w:ascii="Times New Roman" w:hAnsi="Times New Roman"/>
          <w:sz w:val="28"/>
          <w:szCs w:val="28"/>
        </w:rPr>
        <w:t>exonerees who receive</w:t>
      </w:r>
      <w:r w:rsidR="00010F53" w:rsidRPr="00010F53">
        <w:rPr>
          <w:rFonts w:ascii="Times New Roman" w:hAnsi="Times New Roman"/>
          <w:sz w:val="28"/>
          <w:szCs w:val="28"/>
        </w:rPr>
        <w:t xml:space="preserve"> either a</w:t>
      </w:r>
      <w:r w:rsidRPr="00010F53">
        <w:rPr>
          <w:rFonts w:ascii="Times New Roman" w:hAnsi="Times New Roman"/>
          <w:sz w:val="28"/>
          <w:szCs w:val="28"/>
        </w:rPr>
        <w:t xml:space="preserve">: 1) Governor’s pardon, </w:t>
      </w:r>
      <w:r w:rsidR="00010F53" w:rsidRPr="00010F53">
        <w:rPr>
          <w:rFonts w:ascii="Times New Roman" w:hAnsi="Times New Roman"/>
          <w:sz w:val="28"/>
          <w:szCs w:val="28"/>
        </w:rPr>
        <w:t xml:space="preserve">or </w:t>
      </w:r>
      <w:r w:rsidRPr="00010F53">
        <w:rPr>
          <w:rFonts w:ascii="Times New Roman" w:hAnsi="Times New Roman"/>
          <w:sz w:val="28"/>
          <w:szCs w:val="28"/>
        </w:rPr>
        <w:t xml:space="preserve">2) state’s attorney’s approval under the writ of actual innocence law. </w:t>
      </w:r>
      <w:r w:rsidR="00010F53" w:rsidRPr="00010F53">
        <w:rPr>
          <w:rFonts w:ascii="Times New Roman" w:hAnsi="Times New Roman"/>
          <w:sz w:val="28"/>
          <w:szCs w:val="28"/>
        </w:rPr>
        <w:t>That e</w:t>
      </w:r>
      <w:r w:rsidR="009E4AFB" w:rsidRPr="00010F53">
        <w:rPr>
          <w:rFonts w:ascii="Times New Roman" w:hAnsi="Times New Roman"/>
          <w:sz w:val="28"/>
          <w:szCs w:val="28"/>
        </w:rPr>
        <w:t xml:space="preserve">xcludes </w:t>
      </w:r>
      <w:r w:rsidR="00210C4C" w:rsidRPr="00010F53">
        <w:rPr>
          <w:rFonts w:ascii="Times New Roman" w:hAnsi="Times New Roman"/>
          <w:sz w:val="28"/>
          <w:szCs w:val="28"/>
        </w:rPr>
        <w:t>people exonerated in other ways such as with</w:t>
      </w:r>
      <w:r w:rsidR="009E4AFB" w:rsidRPr="00010F53">
        <w:rPr>
          <w:rFonts w:ascii="Times New Roman" w:hAnsi="Times New Roman"/>
          <w:sz w:val="28"/>
          <w:szCs w:val="28"/>
        </w:rPr>
        <w:t xml:space="preserve"> DNA</w:t>
      </w:r>
      <w:r w:rsidR="00210C4C" w:rsidRPr="00010F53">
        <w:rPr>
          <w:rFonts w:ascii="Times New Roman" w:hAnsi="Times New Roman"/>
          <w:sz w:val="28"/>
          <w:szCs w:val="28"/>
        </w:rPr>
        <w:t>,</w:t>
      </w:r>
      <w:r w:rsidR="009E4AFB" w:rsidRPr="00010F53">
        <w:rPr>
          <w:rFonts w:ascii="Times New Roman" w:hAnsi="Times New Roman"/>
          <w:sz w:val="28"/>
          <w:szCs w:val="28"/>
        </w:rPr>
        <w:t xml:space="preserve"> or </w:t>
      </w:r>
      <w:r w:rsidR="00210C4C" w:rsidRPr="00010F53">
        <w:rPr>
          <w:rFonts w:ascii="Times New Roman" w:hAnsi="Times New Roman"/>
          <w:sz w:val="28"/>
          <w:szCs w:val="28"/>
        </w:rPr>
        <w:t xml:space="preserve">with evidence that was illegally withheld at trial. </w:t>
      </w:r>
    </w:p>
    <w:p w14:paraId="7E72EB3E" w14:textId="77777777" w:rsidR="00010F53" w:rsidRPr="00010F53" w:rsidRDefault="00010F53" w:rsidP="00010F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>Solutions:</w:t>
      </w:r>
    </w:p>
    <w:p w14:paraId="19B7956D" w14:textId="77777777" w:rsidR="00010F53" w:rsidRPr="00010F53" w:rsidRDefault="00010F53" w:rsidP="00010F53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14:paraId="32EC24D4" w14:textId="116EA716" w:rsidR="00010F53" w:rsidRPr="00010F53" w:rsidRDefault="00010F53" w:rsidP="00010F53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 xml:space="preserve">Provide set amount of $81,000 per year of wrongful imprisonment </w:t>
      </w:r>
      <w:r w:rsidRPr="00010F53">
        <w:rPr>
          <w:rFonts w:ascii="Times New Roman" w:hAnsi="Times New Roman"/>
          <w:sz w:val="28"/>
          <w:szCs w:val="28"/>
        </w:rPr>
        <w:t>(equal to state median household income).</w:t>
      </w:r>
    </w:p>
    <w:p w14:paraId="284DB5A1" w14:textId="77777777" w:rsidR="00010F53" w:rsidRPr="00010F53" w:rsidRDefault="00010F53" w:rsidP="00010F53">
      <w:pPr>
        <w:pStyle w:val="ListParagraph"/>
        <w:rPr>
          <w:rFonts w:ascii="Times New Roman" w:hAnsi="Times New Roman"/>
          <w:sz w:val="28"/>
          <w:szCs w:val="28"/>
        </w:rPr>
      </w:pPr>
    </w:p>
    <w:p w14:paraId="483DA872" w14:textId="79211020" w:rsidR="00010F53" w:rsidRPr="00010F53" w:rsidRDefault="00010F53" w:rsidP="00010F53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 xml:space="preserve">Judges should determine who is eligible. </w:t>
      </w:r>
    </w:p>
    <w:p w14:paraId="0073F7C8" w14:textId="77777777" w:rsidR="00010F53" w:rsidRPr="00010F53" w:rsidRDefault="00010F53" w:rsidP="00010F53">
      <w:pPr>
        <w:pStyle w:val="ListParagraph"/>
        <w:rPr>
          <w:rFonts w:ascii="Times New Roman" w:hAnsi="Times New Roman"/>
          <w:sz w:val="28"/>
          <w:szCs w:val="28"/>
        </w:rPr>
      </w:pPr>
    </w:p>
    <w:p w14:paraId="5D14B523" w14:textId="64C3BC9D" w:rsidR="00010F53" w:rsidRPr="00010F53" w:rsidRDefault="00010F53" w:rsidP="00010F53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10F53">
        <w:rPr>
          <w:rFonts w:ascii="Times New Roman" w:hAnsi="Times New Roman"/>
          <w:b/>
          <w:sz w:val="28"/>
          <w:szCs w:val="28"/>
        </w:rPr>
        <w:t>Eligibility should be based on proof of innocence</w:t>
      </w:r>
      <w:r w:rsidRPr="00010F53">
        <w:rPr>
          <w:rFonts w:ascii="Times New Roman" w:hAnsi="Times New Roman"/>
          <w:sz w:val="28"/>
          <w:szCs w:val="28"/>
        </w:rPr>
        <w:t xml:space="preserve">, not the specific type of exoneration. </w:t>
      </w:r>
    </w:p>
    <w:p w14:paraId="41425D7F" w14:textId="77777777" w:rsidR="00010F53" w:rsidRPr="00010F53" w:rsidRDefault="00010F53" w:rsidP="00010F53">
      <w:pPr>
        <w:pStyle w:val="ListParagraph"/>
        <w:rPr>
          <w:rFonts w:ascii="Times New Roman" w:hAnsi="Times New Roman"/>
        </w:rPr>
      </w:pPr>
    </w:p>
    <w:p w14:paraId="4427ADC6" w14:textId="77777777" w:rsidR="00010F53" w:rsidRPr="00010F53" w:rsidRDefault="00010F53" w:rsidP="00010F53">
      <w:pPr>
        <w:pStyle w:val="ListParagraph"/>
        <w:ind w:left="360"/>
        <w:rPr>
          <w:rFonts w:ascii="Times New Roman" w:hAnsi="Times New Roman"/>
        </w:rPr>
      </w:pPr>
    </w:p>
    <w:p w14:paraId="0BACECE2" w14:textId="2AE50972" w:rsidR="00010F53" w:rsidRPr="00010F53" w:rsidRDefault="00010F53" w:rsidP="00010F53">
      <w:pPr>
        <w:shd w:val="clear" w:color="auto" w:fill="000000" w:themeFill="text1"/>
        <w:rPr>
          <w:rFonts w:ascii="Times New Roman" w:hAnsi="Times New Roman"/>
          <w:color w:val="FFFFFF" w:themeColor="background1"/>
          <w:sz w:val="28"/>
          <w:szCs w:val="28"/>
        </w:rPr>
      </w:pPr>
      <w:r w:rsidRPr="00010F53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37CF8D70" wp14:editId="7BED2280">
            <wp:simplePos x="0" y="0"/>
            <wp:positionH relativeFrom="column">
              <wp:posOffset>106680</wp:posOffset>
            </wp:positionH>
            <wp:positionV relativeFrom="paragraph">
              <wp:posOffset>33302</wp:posOffset>
            </wp:positionV>
            <wp:extent cx="1256248" cy="1253067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48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F53">
        <w:rPr>
          <w:rFonts w:ascii="Times New Roman" w:hAnsi="Times New Roman"/>
          <w:b/>
          <w:color w:val="FFFFFF" w:themeColor="background1"/>
          <w:sz w:val="24"/>
          <w:szCs w:val="24"/>
        </w:rPr>
        <w:t>Demetrius Smith</w:t>
      </w:r>
      <w:r w:rsidRPr="00010F53">
        <w:rPr>
          <w:rFonts w:ascii="Times New Roman" w:hAnsi="Times New Roman"/>
          <w:color w:val="FFFFFF" w:themeColor="background1"/>
          <w:sz w:val="24"/>
          <w:szCs w:val="24"/>
        </w:rPr>
        <w:t xml:space="preserve"> was wrongfully convicted of the 2008 Baltimore murder of Robert Long During his appeal the Drug Enforcement Agency discovered evidence that a man named Juan Morales actually committed the crime. Smith was released and Morales was convicted of the murder. </w:t>
      </w:r>
      <w:r w:rsidRPr="00010F53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Despite the fact that the real perpetrator has been convicted, Smith is ineligible for state compensation </w:t>
      </w:r>
      <w:r w:rsidRPr="00010F53">
        <w:rPr>
          <w:rFonts w:ascii="Times New Roman" w:hAnsi="Times New Roman"/>
          <w:color w:val="FFFFFF" w:themeColor="background1"/>
          <w:sz w:val="24"/>
          <w:szCs w:val="24"/>
        </w:rPr>
        <w:t xml:space="preserve">because he was exonerated under motion for new trial law and could not obtain state’s attorney certification under writ of </w:t>
      </w:r>
      <w:r w:rsidRPr="00010F53">
        <w:rPr>
          <w:rFonts w:ascii="Times New Roman" w:hAnsi="Times New Roman"/>
          <w:color w:val="FFFFFF" w:themeColor="background1"/>
          <w:sz w:val="24"/>
          <w:szCs w:val="24"/>
        </w:rPr>
        <w:lastRenderedPageBreak/>
        <w:t>innocence.</w:t>
      </w:r>
    </w:p>
    <w:sectPr w:rsidR="00010F53" w:rsidRPr="00010F53" w:rsidSect="00010F53">
      <w:headerReference w:type="default" r:id="rId10"/>
      <w:pgSz w:w="12240" w:h="15840"/>
      <w:pgMar w:top="720" w:right="720" w:bottom="5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BD81D" w14:textId="77777777" w:rsidR="008E127E" w:rsidRDefault="008E127E" w:rsidP="005E3EBE">
      <w:pPr>
        <w:spacing w:after="0" w:line="240" w:lineRule="auto"/>
      </w:pPr>
      <w:r>
        <w:separator/>
      </w:r>
    </w:p>
  </w:endnote>
  <w:endnote w:type="continuationSeparator" w:id="0">
    <w:p w14:paraId="032B940A" w14:textId="77777777" w:rsidR="008E127E" w:rsidRDefault="008E127E" w:rsidP="005E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BF1BA" w14:textId="77777777" w:rsidR="008E127E" w:rsidRDefault="008E127E" w:rsidP="005E3EBE">
      <w:pPr>
        <w:spacing w:after="0" w:line="240" w:lineRule="auto"/>
      </w:pPr>
      <w:r>
        <w:separator/>
      </w:r>
    </w:p>
  </w:footnote>
  <w:footnote w:type="continuationSeparator" w:id="0">
    <w:p w14:paraId="28B65A32" w14:textId="77777777" w:rsidR="008E127E" w:rsidRDefault="008E127E" w:rsidP="005E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EE0C" w14:textId="2EF259E0" w:rsidR="008E127E" w:rsidRDefault="0087522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65E953" wp14:editId="0C835EA8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866900" cy="608330"/>
          <wp:effectExtent l="0" t="0" r="12700" b="1270"/>
          <wp:wrapTopAndBottom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22D">
      <w:drawing>
        <wp:inline distT="0" distB="0" distL="0" distR="0" wp14:anchorId="5F7C1F99" wp14:editId="226EB786">
          <wp:extent cx="3812310" cy="4186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cence-project-logo-horizontal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4416" cy="41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F4C1B" w14:textId="2BB19DDD" w:rsidR="008E127E" w:rsidRDefault="008E127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400"/>
    <w:multiLevelType w:val="multilevel"/>
    <w:tmpl w:val="78F4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270192B"/>
    <w:multiLevelType w:val="hybridMultilevel"/>
    <w:tmpl w:val="D92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0666"/>
    <w:multiLevelType w:val="hybridMultilevel"/>
    <w:tmpl w:val="2DA8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16AE5"/>
    <w:multiLevelType w:val="hybridMultilevel"/>
    <w:tmpl w:val="C212DC86"/>
    <w:lvl w:ilvl="0" w:tplc="ACB05B7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C4B9D"/>
    <w:multiLevelType w:val="hybridMultilevel"/>
    <w:tmpl w:val="2550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B46"/>
    <w:multiLevelType w:val="hybridMultilevel"/>
    <w:tmpl w:val="A3C2D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322A4"/>
    <w:multiLevelType w:val="hybridMultilevel"/>
    <w:tmpl w:val="2752DCF8"/>
    <w:lvl w:ilvl="0" w:tplc="6644D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D6B2B"/>
    <w:multiLevelType w:val="hybridMultilevel"/>
    <w:tmpl w:val="9E20D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C3DBD"/>
    <w:multiLevelType w:val="hybridMultilevel"/>
    <w:tmpl w:val="6844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5C2D90"/>
    <w:multiLevelType w:val="hybridMultilevel"/>
    <w:tmpl w:val="458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367F"/>
    <w:multiLevelType w:val="hybridMultilevel"/>
    <w:tmpl w:val="D9DEA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4972BE"/>
    <w:multiLevelType w:val="hybridMultilevel"/>
    <w:tmpl w:val="4B50BB20"/>
    <w:lvl w:ilvl="0" w:tplc="6644D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AF06CD"/>
    <w:multiLevelType w:val="hybridMultilevel"/>
    <w:tmpl w:val="D7A67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A1281"/>
    <w:multiLevelType w:val="hybridMultilevel"/>
    <w:tmpl w:val="80C0B420"/>
    <w:lvl w:ilvl="0" w:tplc="6644D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AD64CB"/>
    <w:multiLevelType w:val="hybridMultilevel"/>
    <w:tmpl w:val="1BA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91239"/>
    <w:multiLevelType w:val="hybridMultilevel"/>
    <w:tmpl w:val="A3E28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62DEA"/>
    <w:multiLevelType w:val="hybridMultilevel"/>
    <w:tmpl w:val="4226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14BA6"/>
    <w:multiLevelType w:val="hybridMultilevel"/>
    <w:tmpl w:val="CF5C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7"/>
  </w:num>
  <w:num w:numId="5">
    <w:abstractNumId w:val="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BE"/>
    <w:rsid w:val="00010F53"/>
    <w:rsid w:val="00114A70"/>
    <w:rsid w:val="00114D0E"/>
    <w:rsid w:val="00135098"/>
    <w:rsid w:val="0018285B"/>
    <w:rsid w:val="00210C4C"/>
    <w:rsid w:val="002E79A2"/>
    <w:rsid w:val="0039110A"/>
    <w:rsid w:val="00413111"/>
    <w:rsid w:val="00457425"/>
    <w:rsid w:val="00497E1F"/>
    <w:rsid w:val="004C55AE"/>
    <w:rsid w:val="005717B5"/>
    <w:rsid w:val="005B0977"/>
    <w:rsid w:val="005E3EBE"/>
    <w:rsid w:val="00656E26"/>
    <w:rsid w:val="0066362D"/>
    <w:rsid w:val="00773B5A"/>
    <w:rsid w:val="007809CB"/>
    <w:rsid w:val="007E2AB6"/>
    <w:rsid w:val="007F229F"/>
    <w:rsid w:val="00817AF9"/>
    <w:rsid w:val="0087522D"/>
    <w:rsid w:val="008E127E"/>
    <w:rsid w:val="009B7F6D"/>
    <w:rsid w:val="009E4AFB"/>
    <w:rsid w:val="00A20C94"/>
    <w:rsid w:val="00A77315"/>
    <w:rsid w:val="00B279D3"/>
    <w:rsid w:val="00B33FD3"/>
    <w:rsid w:val="00CD5857"/>
    <w:rsid w:val="00D365C5"/>
    <w:rsid w:val="00EE63A3"/>
    <w:rsid w:val="00F42D11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10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BE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EB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otnoteReference">
    <w:name w:val="footnote reference"/>
    <w:uiPriority w:val="99"/>
    <w:unhideWhenUsed/>
    <w:rsid w:val="005E3E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EBE"/>
    <w:pPr>
      <w:spacing w:after="0" w:line="240" w:lineRule="auto"/>
    </w:pPr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EBE"/>
    <w:rPr>
      <w:rFonts w:ascii="Cambria" w:eastAsia="MS Mincho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BE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B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3B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B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7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BE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EB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otnoteReference">
    <w:name w:val="footnote reference"/>
    <w:uiPriority w:val="99"/>
    <w:unhideWhenUsed/>
    <w:rsid w:val="005E3E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EBE"/>
    <w:pPr>
      <w:spacing w:after="0" w:line="240" w:lineRule="auto"/>
    </w:pPr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EBE"/>
    <w:rPr>
      <w:rFonts w:ascii="Cambria" w:eastAsia="MS Mincho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BE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B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3B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B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7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6F78-7B49-4B4D-8C41-EBB28B32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</cp:lastModifiedBy>
  <cp:revision>4</cp:revision>
  <dcterms:created xsi:type="dcterms:W3CDTF">2020-04-02T17:52:00Z</dcterms:created>
  <dcterms:modified xsi:type="dcterms:W3CDTF">2020-04-07T17:10:00Z</dcterms:modified>
</cp:coreProperties>
</file>